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A44" w:rsidRDefault="002C1BED" w:rsidP="002A0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2A0A78" w:rsidRDefault="002C1BED" w:rsidP="002A0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вопросам регулирования отношений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с участием </w:t>
      </w:r>
    </w:p>
    <w:p w:rsidR="002A0A78" w:rsidRDefault="002C1BED" w:rsidP="002A0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системообразующей территориальной сетевой организации </w:t>
      </w:r>
    </w:p>
    <w:p w:rsidR="00D94A44" w:rsidRDefault="002C1BED" w:rsidP="002A0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на территории </w:t>
      </w:r>
      <w:r w:rsidR="001225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Республики </w:t>
      </w:r>
      <w:r w:rsidR="004F6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Бурятия</w:t>
      </w:r>
    </w:p>
    <w:bookmarkEnd w:id="0"/>
    <w:p w:rsidR="00D94A44" w:rsidRDefault="00D94A44" w:rsidP="002A0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</w:rPr>
      </w:pPr>
    </w:p>
    <w:p w:rsidR="00D94A44" w:rsidRDefault="004F65AD" w:rsidP="002A0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Республиканская служба по тарифам Республики Бурятия </w:t>
      </w:r>
      <w:r w:rsidR="00C401F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с</w:t>
      </w:r>
      <w:r w:rsidR="002C1BE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оответствии с </w:t>
      </w:r>
      <w:r w:rsidR="001225C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подпунктом «в»</w:t>
      </w:r>
      <w:r w:rsidR="002C1BE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пункта 3 постановления Правительства Российской Федерации </w:t>
      </w:r>
      <w:r w:rsidR="001225C9" w:rsidRPr="001225C9">
        <w:rPr>
          <w:rFonts w:ascii="Times New Roman" w:eastAsia="Times New Roman" w:hAnsi="Times New Roman" w:cs="Times New Roman"/>
          <w:color w:val="000000"/>
          <w:sz w:val="28"/>
          <w:szCs w:val="28"/>
        </w:rPr>
        <w:t>от 31 августа 2024 г</w:t>
      </w:r>
      <w:r w:rsidR="001225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ода № </w:t>
      </w:r>
      <w:r w:rsidR="001225C9" w:rsidRPr="001225C9">
        <w:rPr>
          <w:rFonts w:ascii="Times New Roman" w:eastAsia="Times New Roman" w:hAnsi="Times New Roman" w:cs="Times New Roman"/>
          <w:color w:val="000000"/>
          <w:sz w:val="28"/>
          <w:szCs w:val="28"/>
        </w:rPr>
        <w:t>1195</w:t>
      </w:r>
      <w:r w:rsidR="001225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2C1BE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 в целях перехода к правовому регулированию отношений с участием системообразующей территориальной сетевой организации на территории </w:t>
      </w:r>
      <w:r w:rsidR="00C401F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Республики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Бурятия</w:t>
      </w:r>
      <w:r w:rsidR="00C401F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2C1BED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сообщает о следующем:</w:t>
      </w:r>
    </w:p>
    <w:p w:rsidR="00A355DD" w:rsidRPr="00A355DD" w:rsidRDefault="002C1BED" w:rsidP="002A0A78">
      <w:pPr>
        <w:pStyle w:val="af9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="001225C9"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указом Главы Республик</w:t>
      </w:r>
      <w:r w:rsidR="002A0A78"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4F65AD"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Бурятия </w:t>
      </w:r>
      <w:r w:rsidR="002A0A78"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A355DD"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2A0A78"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сентября 2024 г</w:t>
      </w:r>
      <w:r w:rsidR="001225C9"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>ода №</w:t>
      </w:r>
      <w:r w:rsidR="00A355DD"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150</w:t>
      </w:r>
      <w:r w:rsidR="001225C9"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1 января 2025 года на территории </w:t>
      </w:r>
      <w:r w:rsidR="002A0A78"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</w:t>
      </w:r>
      <w:r w:rsidR="004F65AD" w:rsidRPr="00A355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Бурятия </w:t>
      </w:r>
      <w:r w:rsidRPr="00A355DD">
        <w:rPr>
          <w:rFonts w:ascii="PT Astra Serif" w:hAnsi="PT Astra Serif"/>
          <w:sz w:val="28"/>
          <w:szCs w:val="28"/>
        </w:rPr>
        <w:t xml:space="preserve">системообразующей территориальной сетевой организацией определен </w:t>
      </w:r>
      <w:r w:rsidR="00912B4E" w:rsidRPr="00A355DD">
        <w:rPr>
          <w:rFonts w:ascii="PT Astra Serif" w:hAnsi="PT Astra Serif"/>
          <w:sz w:val="28"/>
          <w:szCs w:val="28"/>
        </w:rPr>
        <w:t xml:space="preserve">филиал Публичного акционерного общества </w:t>
      </w:r>
      <w:r w:rsidRPr="00A355DD">
        <w:rPr>
          <w:rFonts w:ascii="PT Astra Serif" w:hAnsi="PT Astra Serif"/>
          <w:sz w:val="28"/>
          <w:szCs w:val="28"/>
        </w:rPr>
        <w:t xml:space="preserve">«Россети </w:t>
      </w:r>
      <w:r w:rsidR="004F65AD" w:rsidRPr="00A355DD">
        <w:rPr>
          <w:rFonts w:ascii="PT Astra Serif" w:hAnsi="PT Astra Serif"/>
          <w:sz w:val="28"/>
          <w:szCs w:val="28"/>
        </w:rPr>
        <w:t>Сибирь</w:t>
      </w:r>
      <w:r w:rsidRPr="00A355DD">
        <w:rPr>
          <w:rFonts w:ascii="PT Astra Serif" w:hAnsi="PT Astra Serif"/>
          <w:sz w:val="28"/>
          <w:szCs w:val="28"/>
        </w:rPr>
        <w:t xml:space="preserve">» </w:t>
      </w:r>
      <w:r w:rsidR="00912B4E" w:rsidRPr="00A355DD">
        <w:rPr>
          <w:rFonts w:ascii="PT Astra Serif" w:hAnsi="PT Astra Serif"/>
          <w:sz w:val="28"/>
          <w:szCs w:val="28"/>
        </w:rPr>
        <w:t>- «</w:t>
      </w:r>
      <w:r w:rsidR="004F65AD" w:rsidRPr="00A355DD">
        <w:rPr>
          <w:rFonts w:ascii="PT Astra Serif" w:hAnsi="PT Astra Serif"/>
          <w:sz w:val="28"/>
          <w:szCs w:val="28"/>
        </w:rPr>
        <w:t>Бурятэнерго</w:t>
      </w:r>
      <w:r w:rsidR="002A0A78" w:rsidRPr="00A355DD">
        <w:rPr>
          <w:rFonts w:ascii="PT Astra Serif" w:hAnsi="PT Astra Serif"/>
          <w:sz w:val="28"/>
          <w:szCs w:val="28"/>
        </w:rPr>
        <w:t xml:space="preserve">» </w:t>
      </w:r>
      <w:r w:rsidRPr="00A355DD">
        <w:rPr>
          <w:rFonts w:ascii="PT Astra Serif" w:hAnsi="PT Astra Serif"/>
          <w:sz w:val="28"/>
          <w:szCs w:val="28"/>
        </w:rPr>
        <w:t>(ОГРН</w:t>
      </w:r>
      <w:r w:rsidR="00A355DD" w:rsidRPr="00A355DD">
        <w:rPr>
          <w:rFonts w:ascii="PT Astra Serif" w:hAnsi="PT Astra Serif"/>
          <w:sz w:val="28"/>
          <w:szCs w:val="28"/>
        </w:rPr>
        <w:t xml:space="preserve"> 1052460054327</w:t>
      </w:r>
      <w:r w:rsidR="00A355DD">
        <w:rPr>
          <w:rFonts w:ascii="PT Astra Serif" w:hAnsi="PT Astra Serif"/>
          <w:sz w:val="28"/>
          <w:szCs w:val="28"/>
        </w:rPr>
        <w:t>).</w:t>
      </w:r>
    </w:p>
    <w:p w:rsidR="00D94A44" w:rsidRPr="00A355DD" w:rsidRDefault="002C1BED" w:rsidP="002A0A78">
      <w:pPr>
        <w:pStyle w:val="af9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A355DD">
        <w:rPr>
          <w:rFonts w:ascii="PT Astra Serif" w:hAnsi="PT Astra Serif"/>
          <w:sz w:val="28"/>
          <w:szCs w:val="28"/>
        </w:rPr>
        <w:t xml:space="preserve"> </w:t>
      </w:r>
      <w:r w:rsidRPr="00A355DD"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Потребителями услуг по передаче электрической энергии, которые должны оказываться </w:t>
      </w:r>
      <w:r w:rsidRPr="00A355DD">
        <w:rPr>
          <w:rFonts w:ascii="PT Astra Serif" w:hAnsi="PT Astra Serif"/>
          <w:sz w:val="28"/>
          <w:szCs w:val="28"/>
        </w:rPr>
        <w:t xml:space="preserve">системообразующей территориальной сетевой организацией </w:t>
      </w:r>
      <w:r w:rsidR="00365F05" w:rsidRPr="00A355DD">
        <w:rPr>
          <w:rFonts w:ascii="PT Astra Serif" w:hAnsi="PT Astra Serif"/>
          <w:sz w:val="28"/>
          <w:szCs w:val="28"/>
        </w:rPr>
        <w:t xml:space="preserve">в лице </w:t>
      </w:r>
      <w:r w:rsidR="00912B4E" w:rsidRPr="00A355DD">
        <w:rPr>
          <w:rFonts w:ascii="PT Astra Serif" w:hAnsi="PT Astra Serif"/>
          <w:sz w:val="28"/>
          <w:szCs w:val="28"/>
        </w:rPr>
        <w:t>филиал</w:t>
      </w:r>
      <w:r w:rsidR="00365F05" w:rsidRPr="00A355DD">
        <w:rPr>
          <w:rFonts w:ascii="PT Astra Serif" w:hAnsi="PT Astra Serif"/>
          <w:sz w:val="28"/>
          <w:szCs w:val="28"/>
        </w:rPr>
        <w:t>а</w:t>
      </w:r>
      <w:r w:rsidR="00912B4E" w:rsidRPr="00A355DD">
        <w:rPr>
          <w:rFonts w:ascii="PT Astra Serif" w:hAnsi="PT Astra Serif"/>
          <w:sz w:val="28"/>
          <w:szCs w:val="28"/>
        </w:rPr>
        <w:t xml:space="preserve"> </w:t>
      </w:r>
      <w:r w:rsidR="002A0A78" w:rsidRPr="00A355DD">
        <w:rPr>
          <w:rFonts w:ascii="PT Astra Serif" w:hAnsi="PT Astra Serif"/>
          <w:sz w:val="28"/>
          <w:szCs w:val="28"/>
        </w:rPr>
        <w:t>Публичного акционерного общества «</w:t>
      </w:r>
      <w:r w:rsidR="004F65AD" w:rsidRPr="00A355DD">
        <w:rPr>
          <w:rFonts w:ascii="PT Astra Serif" w:hAnsi="PT Astra Serif"/>
          <w:sz w:val="28"/>
          <w:szCs w:val="28"/>
        </w:rPr>
        <w:t>Россети Сибирь» - «Бурятэнерго»</w:t>
      </w:r>
      <w:r w:rsidR="00912B4E" w:rsidRPr="00A355DD">
        <w:rPr>
          <w:rFonts w:ascii="PT Astra Serif" w:hAnsi="PT Astra Serif"/>
          <w:sz w:val="28"/>
          <w:szCs w:val="28"/>
        </w:rPr>
        <w:t xml:space="preserve"> </w:t>
      </w:r>
      <w:r w:rsidRPr="00A355DD"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с 1 января 2025 года являются:</w:t>
      </w:r>
    </w:p>
    <w:p w:rsidR="00D94A44" w:rsidRDefault="002C1BED" w:rsidP="002A0A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лица, владеющие на праве собственности или на ином законном основании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энергопринимающими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устройствами и (или) объектами электроэнергетики, технологически присоединенными в установленном порядке к электрической сети (в том числе опосредованно в случаях, предусмотренных пунктом 5 Правил недискриминационного доступа к услугам по передаче электрической энергии и оказания этих услуг, утвержденных постановлением Правительства Российской Федера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ции от 27 декабря 2004 года № 861);</w:t>
      </w:r>
      <w:proofErr w:type="gramEnd"/>
    </w:p>
    <w:p w:rsidR="00D94A44" w:rsidRDefault="002C1BED" w:rsidP="002A0A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субъек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ты оптового рынка, осуществляющие куплю-продажу электрической энергии на оптовом рынке для дальнейшего использования в экспортно-импортных операциях;</w:t>
      </w:r>
    </w:p>
    <w:p w:rsidR="00D94A44" w:rsidRDefault="002C1BED" w:rsidP="002A0A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энергоснабжающие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организации,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энергосбытовые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организации, гарантирующие поставщики, в интересах обслуживаемых ими потребителей электрической энергии (в отношении точек поставки каждого потребителя электрической энергии, обслуживаемого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энергосбытовой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организацией, гарантирующим поставщиком);</w:t>
      </w:r>
    </w:p>
    <w:p w:rsidR="00D94A44" w:rsidRDefault="002C1BED" w:rsidP="002A0A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моносетевые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организации (по договорам, указанным в подпункте «в» пункта 3</w:t>
      </w:r>
      <w:r>
        <w:rPr>
          <w:rFonts w:ascii="Times New Roman" w:eastAsia="Times New Roman" w:hAnsi="Times New Roman" w:cs="Times New Roman"/>
          <w:color w:val="000000"/>
          <w:sz w:val="23"/>
          <w:highlight w:val="white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Правил недискриминационного доступа к услугам по передаче электрической энергии и оказания этих услуг, утвержденных постановлением Правительства Российской Федера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ции от 27 декабря 2004 года № 861</w:t>
      </w:r>
      <w:r>
        <w:rPr>
          <w:rFonts w:ascii="Times New Roman" w:eastAsia="Times New Roman" w:hAnsi="Times New Roman" w:cs="Times New Roman"/>
          <w:color w:val="000000"/>
          <w:sz w:val="28"/>
        </w:rPr>
        <w:t>);</w:t>
      </w:r>
    </w:p>
    <w:p w:rsidR="00D94A44" w:rsidRDefault="002C1BED" w:rsidP="002A0A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ица, владеющие на праве собственности или ином законном основании объектами по производству электрической энергии (мощности), с учетом положений пункта 49 Правил недискриминационного доступа к услугам по передаче электрической энергии и оказания этих услуг, 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lastRenderedPageBreak/>
        <w:t>утвержденных постановлением Правительства Российской Федера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ции от 27 декабря 2004 года № 861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, в отношении объектов по производству электрической энергии (мощности)</w:t>
      </w:r>
      <w:r>
        <w:rPr>
          <w:rFonts w:ascii="Calibri" w:eastAsia="Calibri" w:hAnsi="Calibri" w:cs="Calibri"/>
          <w:color w:val="000000"/>
          <w:sz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при приобретении ими электрической энергии (мощности) для собственных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</w:t>
      </w:r>
      <w:r w:rsidR="00365F05"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и хозяйственных </w:t>
      </w:r>
      <w:r>
        <w:rPr>
          <w:rFonts w:ascii="Times New Roman" w:eastAsia="Times New Roman" w:hAnsi="Times New Roman" w:cs="Times New Roman"/>
          <w:color w:val="000000"/>
          <w:sz w:val="28"/>
          <w:highlight w:val="white"/>
        </w:rPr>
        <w:t>нужд</w:t>
      </w:r>
      <w:r w:rsidR="00365F05"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электростанций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A355DD" w:rsidRPr="00D44FBC" w:rsidRDefault="00365F05" w:rsidP="002A0A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Исключением являются лица, которым услуги по передаче электрической энергии оказываются организацией </w:t>
      </w:r>
      <w:r w:rsidRPr="00365F05">
        <w:rPr>
          <w:rFonts w:ascii="Times New Roman" w:eastAsia="Times New Roman" w:hAnsi="Times New Roman" w:cs="Times New Roman"/>
          <w:color w:val="000000"/>
          <w:sz w:val="28"/>
          <w:szCs w:val="28"/>
        </w:rPr>
        <w:t>по управлению единой национальной (общероссийской) электрической сетью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соответствии с пунктом 1 статьи 9 </w:t>
      </w:r>
      <w:r w:rsidRPr="00D44FB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Федерального закона от 26</w:t>
      </w:r>
      <w:r w:rsidR="002A0A7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марта </w:t>
      </w:r>
      <w:r w:rsidRPr="00D44FB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2003 </w:t>
      </w:r>
      <w:r w:rsidR="002A0A7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года </w:t>
      </w:r>
      <w:r w:rsidR="00A355D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№ 35-ФЗ «Об электроэнергетике», а так же </w:t>
      </w:r>
      <w:r w:rsidR="00A355DD" w:rsidRPr="00A355D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территориальны</w:t>
      </w:r>
      <w:r w:rsidR="00A355D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е</w:t>
      </w:r>
      <w:r w:rsidR="00A355DD" w:rsidRPr="00A355D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сетевы</w:t>
      </w:r>
      <w:r w:rsidR="00A355D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е</w:t>
      </w:r>
      <w:r w:rsidR="00A355DD" w:rsidRPr="00A355D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организаци</w:t>
      </w:r>
      <w:r w:rsidR="00A355D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и</w:t>
      </w:r>
      <w:r w:rsidR="00A355DD" w:rsidRPr="00A355D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на территориях, технологически не связанных с Единой энергетической системой России, технологически изолированными территориальными электроэнергетическими системами, а также на территориях</w:t>
      </w:r>
      <w:proofErr w:type="gramEnd"/>
      <w:r w:rsidR="00A355DD" w:rsidRPr="00A355D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технологически изолированных территориальных электроэнергетических систем, если их границы не совпадают с границами субъекта Российской Федерации, в пределах которого такие системы находятся</w:t>
      </w:r>
      <w:r w:rsidR="00A355D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2A0A78" w:rsidRPr="002D1577" w:rsidRDefault="002C1BED" w:rsidP="002A0A78">
      <w:pPr>
        <w:pStyle w:val="af9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A0A7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Пользование после </w:t>
      </w:r>
      <w:r w:rsidR="0009392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28 февраля </w:t>
      </w:r>
      <w:r w:rsidR="005723C7" w:rsidRPr="002A0A7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A0A7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2025 года лицами, относящимися к потребителям услуг по передаче электрической энергии, которые должны оказываться системообразующей территориальной сетевой организацией, услугами</w:t>
      </w:r>
      <w:r w:rsidRPr="002A0A78"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по передаче электрической энергии без договора с системообразующей территориальной сетевой организацией (в том </w:t>
      </w:r>
      <w:proofErr w:type="gramStart"/>
      <w:r w:rsidRPr="002A0A78">
        <w:rPr>
          <w:rFonts w:ascii="Times New Roman" w:eastAsia="Times New Roman" w:hAnsi="Times New Roman" w:cs="Times New Roman"/>
          <w:color w:val="000000"/>
          <w:sz w:val="28"/>
          <w:highlight w:val="white"/>
        </w:rPr>
        <w:t>числе</w:t>
      </w:r>
      <w:proofErr w:type="gramEnd"/>
      <w:r w:rsidRPr="002A0A78"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если договор не заключен посредством акцепта в виде оплаты полностью услуг за первый расчетный период) является основанием для введения по инициативе системообразующей территориальной </w:t>
      </w:r>
      <w:proofErr w:type="gramStart"/>
      <w:r w:rsidRPr="002A0A78"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сетевой организации ограничения режима потребления электрической энергии в порядке, аналогичном установленному для случаев, указанных в подпункте </w:t>
      </w:r>
      <w:r w:rsidR="005723C7" w:rsidRPr="002A0A78">
        <w:rPr>
          <w:rFonts w:ascii="Times New Roman" w:eastAsia="Times New Roman" w:hAnsi="Times New Roman" w:cs="Times New Roman"/>
          <w:color w:val="000000"/>
          <w:sz w:val="28"/>
          <w:highlight w:val="white"/>
        </w:rPr>
        <w:t>«</w:t>
      </w:r>
      <w:r w:rsidRPr="002A0A78">
        <w:rPr>
          <w:rFonts w:ascii="Times New Roman" w:eastAsia="Times New Roman" w:hAnsi="Times New Roman" w:cs="Times New Roman"/>
          <w:color w:val="000000"/>
          <w:sz w:val="28"/>
          <w:highlight w:val="white"/>
        </w:rPr>
        <w:t>в</w:t>
      </w:r>
      <w:r w:rsidR="005723C7" w:rsidRPr="002A0A78"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» </w:t>
      </w:r>
      <w:r w:rsidRPr="002A0A78">
        <w:rPr>
          <w:rFonts w:ascii="Times New Roman" w:eastAsia="Times New Roman" w:hAnsi="Times New Roman" w:cs="Times New Roman"/>
          <w:color w:val="000000"/>
          <w:sz w:val="28"/>
          <w:highlight w:val="white"/>
        </w:rPr>
        <w:t>пункта 2  Правил полного и (или) частичного ограничения режима потребления электрической энергии, утвержденны</w:t>
      </w:r>
      <w:r w:rsidR="00C401F6">
        <w:rPr>
          <w:rFonts w:ascii="Times New Roman" w:eastAsia="Times New Roman" w:hAnsi="Times New Roman" w:cs="Times New Roman"/>
          <w:color w:val="000000"/>
          <w:sz w:val="28"/>
          <w:highlight w:val="white"/>
        </w:rPr>
        <w:t>х</w:t>
      </w:r>
      <w:r w:rsidRPr="002A0A78">
        <w:rPr>
          <w:rFonts w:ascii="Times New Roman" w:eastAsia="Times New Roman" w:hAnsi="Times New Roman" w:cs="Times New Roman"/>
          <w:color w:val="000000"/>
          <w:sz w:val="28"/>
          <w:highlight w:val="white"/>
        </w:rPr>
        <w:t xml:space="preserve"> постановлением Правительством Российской Федерации от 4 мая 2012 г. № 442 (при этом соблюдение требований абзаца </w:t>
      </w:r>
      <w:r w:rsidRPr="002D1577">
        <w:rPr>
          <w:rFonts w:ascii="Times New Roman" w:eastAsia="Times New Roman" w:hAnsi="Times New Roman" w:cs="Times New Roman"/>
          <w:color w:val="000000"/>
          <w:sz w:val="28"/>
        </w:rPr>
        <w:t>четвертого пункта 23 указанн</w:t>
      </w:r>
      <w:r w:rsidR="00093928">
        <w:rPr>
          <w:rFonts w:ascii="Times New Roman" w:eastAsia="Times New Roman" w:hAnsi="Times New Roman" w:cs="Times New Roman"/>
          <w:color w:val="000000"/>
          <w:sz w:val="28"/>
        </w:rPr>
        <w:t>ых Правил</w:t>
      </w:r>
      <w:r w:rsidRPr="002D1577">
        <w:rPr>
          <w:rFonts w:ascii="Times New Roman" w:eastAsia="Times New Roman" w:hAnsi="Times New Roman" w:cs="Times New Roman"/>
          <w:color w:val="000000"/>
          <w:sz w:val="28"/>
        </w:rPr>
        <w:t xml:space="preserve"> не требуется). </w:t>
      </w:r>
      <w:proofErr w:type="gramEnd"/>
    </w:p>
    <w:p w:rsidR="00D94A44" w:rsidRDefault="002C1BED" w:rsidP="002A0A78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0" w:firstLine="720"/>
        <w:jc w:val="both"/>
      </w:pPr>
      <w:r w:rsidRPr="002D1577">
        <w:rPr>
          <w:rFonts w:ascii="Times New Roman" w:eastAsia="Times New Roman" w:hAnsi="Times New Roman" w:cs="Times New Roman"/>
          <w:color w:val="000000"/>
          <w:sz w:val="28"/>
        </w:rPr>
        <w:t xml:space="preserve">Предусмотренные настоящим пунктом последствия применяются к лицам, указанным в подпункте «б» пункта 3 постановления </w:t>
      </w:r>
      <w:r w:rsidR="002D1577" w:rsidRPr="002D1577">
        <w:rPr>
          <w:rFonts w:ascii="Times New Roman" w:eastAsia="Times New Roman" w:hAnsi="Times New Roman" w:cs="Times New Roman"/>
          <w:color w:val="000000"/>
          <w:sz w:val="28"/>
        </w:rPr>
        <w:t>Правительства Российской Федерации от 31 августа 2024 года №1195</w:t>
      </w:r>
      <w:r w:rsidRPr="002D1577">
        <w:rPr>
          <w:rFonts w:ascii="Times New Roman" w:eastAsia="Times New Roman" w:hAnsi="Times New Roman" w:cs="Times New Roman"/>
          <w:color w:val="000000"/>
          <w:sz w:val="28"/>
        </w:rPr>
        <w:t>, при условии, что им с соблюдением требований данного подпункта было направлено предложение системообразующей территориальной сетевой организации о заключении договора оказания услуг по передаче электрической энергии.</w:t>
      </w:r>
    </w:p>
    <w:p w:rsidR="002A0A78" w:rsidRDefault="002A0A78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0" w:firstLine="720"/>
        <w:jc w:val="both"/>
      </w:pPr>
    </w:p>
    <w:sectPr w:rsidR="002A0A7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4A9" w:rsidRDefault="00DD74A9">
      <w:pPr>
        <w:spacing w:after="0" w:line="240" w:lineRule="auto"/>
      </w:pPr>
      <w:r>
        <w:separator/>
      </w:r>
    </w:p>
  </w:endnote>
  <w:endnote w:type="continuationSeparator" w:id="0">
    <w:p w:rsidR="00DD74A9" w:rsidRDefault="00DD7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4A9" w:rsidRDefault="00DD74A9">
      <w:pPr>
        <w:spacing w:after="0" w:line="240" w:lineRule="auto"/>
      </w:pPr>
      <w:r>
        <w:separator/>
      </w:r>
    </w:p>
  </w:footnote>
  <w:footnote w:type="continuationSeparator" w:id="0">
    <w:p w:rsidR="00DD74A9" w:rsidRDefault="00DD74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9386B"/>
    <w:multiLevelType w:val="hybridMultilevel"/>
    <w:tmpl w:val="4276FD22"/>
    <w:lvl w:ilvl="0" w:tplc="B080CD2E">
      <w:start w:val="1"/>
      <w:numFmt w:val="decimal"/>
      <w:lvlText w:val="%1."/>
      <w:lvlJc w:val="left"/>
    </w:lvl>
    <w:lvl w:ilvl="1" w:tplc="1688A1D2">
      <w:start w:val="1"/>
      <w:numFmt w:val="lowerLetter"/>
      <w:lvlText w:val="%2."/>
      <w:lvlJc w:val="left"/>
      <w:pPr>
        <w:ind w:left="1440" w:hanging="360"/>
      </w:pPr>
    </w:lvl>
    <w:lvl w:ilvl="2" w:tplc="805488B8">
      <w:start w:val="1"/>
      <w:numFmt w:val="lowerRoman"/>
      <w:lvlText w:val="%3."/>
      <w:lvlJc w:val="right"/>
      <w:pPr>
        <w:ind w:left="2160" w:hanging="180"/>
      </w:pPr>
    </w:lvl>
    <w:lvl w:ilvl="3" w:tplc="8676C18A">
      <w:start w:val="1"/>
      <w:numFmt w:val="decimal"/>
      <w:lvlText w:val="%4."/>
      <w:lvlJc w:val="left"/>
      <w:pPr>
        <w:ind w:left="2880" w:hanging="360"/>
      </w:pPr>
    </w:lvl>
    <w:lvl w:ilvl="4" w:tplc="701EC1DA">
      <w:start w:val="1"/>
      <w:numFmt w:val="lowerLetter"/>
      <w:lvlText w:val="%5."/>
      <w:lvlJc w:val="left"/>
      <w:pPr>
        <w:ind w:left="3600" w:hanging="360"/>
      </w:pPr>
    </w:lvl>
    <w:lvl w:ilvl="5" w:tplc="3F5071E8">
      <w:start w:val="1"/>
      <w:numFmt w:val="lowerRoman"/>
      <w:lvlText w:val="%6."/>
      <w:lvlJc w:val="right"/>
      <w:pPr>
        <w:ind w:left="4320" w:hanging="180"/>
      </w:pPr>
    </w:lvl>
    <w:lvl w:ilvl="6" w:tplc="4F920D56">
      <w:start w:val="1"/>
      <w:numFmt w:val="decimal"/>
      <w:lvlText w:val="%7."/>
      <w:lvlJc w:val="left"/>
      <w:pPr>
        <w:ind w:left="5040" w:hanging="360"/>
      </w:pPr>
    </w:lvl>
    <w:lvl w:ilvl="7" w:tplc="0E24FC80">
      <w:start w:val="1"/>
      <w:numFmt w:val="lowerLetter"/>
      <w:lvlText w:val="%8."/>
      <w:lvlJc w:val="left"/>
      <w:pPr>
        <w:ind w:left="5760" w:hanging="360"/>
      </w:pPr>
    </w:lvl>
    <w:lvl w:ilvl="8" w:tplc="78CA5E8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F12D69"/>
    <w:multiLevelType w:val="hybridMultilevel"/>
    <w:tmpl w:val="7C38F942"/>
    <w:lvl w:ilvl="0" w:tplc="15AE1CE8">
      <w:start w:val="1"/>
      <w:numFmt w:val="decimal"/>
      <w:lvlText w:val="%1."/>
      <w:lvlJc w:val="left"/>
    </w:lvl>
    <w:lvl w:ilvl="1" w:tplc="7710FD70">
      <w:start w:val="1"/>
      <w:numFmt w:val="lowerLetter"/>
      <w:lvlText w:val="%2."/>
      <w:lvlJc w:val="left"/>
      <w:pPr>
        <w:ind w:left="1440" w:hanging="360"/>
      </w:pPr>
    </w:lvl>
    <w:lvl w:ilvl="2" w:tplc="4908179E">
      <w:start w:val="1"/>
      <w:numFmt w:val="lowerRoman"/>
      <w:lvlText w:val="%3."/>
      <w:lvlJc w:val="right"/>
      <w:pPr>
        <w:ind w:left="2160" w:hanging="180"/>
      </w:pPr>
    </w:lvl>
    <w:lvl w:ilvl="3" w:tplc="7ED65BAC">
      <w:start w:val="1"/>
      <w:numFmt w:val="decimal"/>
      <w:lvlText w:val="%4."/>
      <w:lvlJc w:val="left"/>
      <w:pPr>
        <w:ind w:left="2880" w:hanging="360"/>
      </w:pPr>
    </w:lvl>
    <w:lvl w:ilvl="4" w:tplc="2B780C8E">
      <w:start w:val="1"/>
      <w:numFmt w:val="lowerLetter"/>
      <w:lvlText w:val="%5."/>
      <w:lvlJc w:val="left"/>
      <w:pPr>
        <w:ind w:left="3600" w:hanging="360"/>
      </w:pPr>
    </w:lvl>
    <w:lvl w:ilvl="5" w:tplc="F4DE8C16">
      <w:start w:val="1"/>
      <w:numFmt w:val="lowerRoman"/>
      <w:lvlText w:val="%6."/>
      <w:lvlJc w:val="right"/>
      <w:pPr>
        <w:ind w:left="4320" w:hanging="180"/>
      </w:pPr>
    </w:lvl>
    <w:lvl w:ilvl="6" w:tplc="ADEA8100">
      <w:start w:val="1"/>
      <w:numFmt w:val="decimal"/>
      <w:lvlText w:val="%7."/>
      <w:lvlJc w:val="left"/>
      <w:pPr>
        <w:ind w:left="5040" w:hanging="360"/>
      </w:pPr>
    </w:lvl>
    <w:lvl w:ilvl="7" w:tplc="6E52A722">
      <w:start w:val="1"/>
      <w:numFmt w:val="lowerLetter"/>
      <w:lvlText w:val="%8."/>
      <w:lvlJc w:val="left"/>
      <w:pPr>
        <w:ind w:left="5760" w:hanging="360"/>
      </w:pPr>
    </w:lvl>
    <w:lvl w:ilvl="8" w:tplc="3594ECB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241CB2"/>
    <w:multiLevelType w:val="hybridMultilevel"/>
    <w:tmpl w:val="03C26826"/>
    <w:lvl w:ilvl="0" w:tplc="D34482D4">
      <w:start w:val="1"/>
      <w:numFmt w:val="decimal"/>
      <w:lvlText w:val="%1."/>
      <w:lvlJc w:val="left"/>
    </w:lvl>
    <w:lvl w:ilvl="1" w:tplc="A588CD90">
      <w:start w:val="1"/>
      <w:numFmt w:val="lowerLetter"/>
      <w:lvlText w:val="%2."/>
      <w:lvlJc w:val="left"/>
      <w:pPr>
        <w:ind w:left="1440" w:hanging="360"/>
      </w:pPr>
    </w:lvl>
    <w:lvl w:ilvl="2" w:tplc="83AE4774">
      <w:start w:val="1"/>
      <w:numFmt w:val="lowerRoman"/>
      <w:lvlText w:val="%3."/>
      <w:lvlJc w:val="right"/>
      <w:pPr>
        <w:ind w:left="2160" w:hanging="180"/>
      </w:pPr>
    </w:lvl>
    <w:lvl w:ilvl="3" w:tplc="B9F0B48E">
      <w:start w:val="1"/>
      <w:numFmt w:val="decimal"/>
      <w:lvlText w:val="%4."/>
      <w:lvlJc w:val="left"/>
      <w:pPr>
        <w:ind w:left="2880" w:hanging="360"/>
      </w:pPr>
    </w:lvl>
    <w:lvl w:ilvl="4" w:tplc="2FB81F36">
      <w:start w:val="1"/>
      <w:numFmt w:val="lowerLetter"/>
      <w:lvlText w:val="%5."/>
      <w:lvlJc w:val="left"/>
      <w:pPr>
        <w:ind w:left="3600" w:hanging="360"/>
      </w:pPr>
    </w:lvl>
    <w:lvl w:ilvl="5" w:tplc="A2A04E86">
      <w:start w:val="1"/>
      <w:numFmt w:val="lowerRoman"/>
      <w:lvlText w:val="%6."/>
      <w:lvlJc w:val="right"/>
      <w:pPr>
        <w:ind w:left="4320" w:hanging="180"/>
      </w:pPr>
    </w:lvl>
    <w:lvl w:ilvl="6" w:tplc="FE62808E">
      <w:start w:val="1"/>
      <w:numFmt w:val="decimal"/>
      <w:lvlText w:val="%7."/>
      <w:lvlJc w:val="left"/>
      <w:pPr>
        <w:ind w:left="5040" w:hanging="360"/>
      </w:pPr>
    </w:lvl>
    <w:lvl w:ilvl="7" w:tplc="6B52B42C">
      <w:start w:val="1"/>
      <w:numFmt w:val="lowerLetter"/>
      <w:lvlText w:val="%8."/>
      <w:lvlJc w:val="left"/>
      <w:pPr>
        <w:ind w:left="5760" w:hanging="360"/>
      </w:pPr>
    </w:lvl>
    <w:lvl w:ilvl="8" w:tplc="95F8F64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790D53"/>
    <w:multiLevelType w:val="hybridMultilevel"/>
    <w:tmpl w:val="D6644D70"/>
    <w:lvl w:ilvl="0" w:tplc="4EE2A7F4">
      <w:start w:val="1"/>
      <w:numFmt w:val="decimal"/>
      <w:lvlText w:val="%1."/>
      <w:lvlJc w:val="left"/>
    </w:lvl>
    <w:lvl w:ilvl="1" w:tplc="B14090A8">
      <w:start w:val="1"/>
      <w:numFmt w:val="lowerLetter"/>
      <w:lvlText w:val="%2."/>
      <w:lvlJc w:val="left"/>
      <w:pPr>
        <w:ind w:left="1440" w:hanging="360"/>
      </w:pPr>
    </w:lvl>
    <w:lvl w:ilvl="2" w:tplc="066A62C8">
      <w:start w:val="1"/>
      <w:numFmt w:val="lowerRoman"/>
      <w:lvlText w:val="%3."/>
      <w:lvlJc w:val="right"/>
      <w:pPr>
        <w:ind w:left="2160" w:hanging="180"/>
      </w:pPr>
    </w:lvl>
    <w:lvl w:ilvl="3" w:tplc="31C81D38">
      <w:start w:val="1"/>
      <w:numFmt w:val="decimal"/>
      <w:lvlText w:val="%4."/>
      <w:lvlJc w:val="left"/>
      <w:pPr>
        <w:ind w:left="2880" w:hanging="360"/>
      </w:pPr>
    </w:lvl>
    <w:lvl w:ilvl="4" w:tplc="54EC42F0">
      <w:start w:val="1"/>
      <w:numFmt w:val="lowerLetter"/>
      <w:lvlText w:val="%5."/>
      <w:lvlJc w:val="left"/>
      <w:pPr>
        <w:ind w:left="3600" w:hanging="360"/>
      </w:pPr>
    </w:lvl>
    <w:lvl w:ilvl="5" w:tplc="7710109C">
      <w:start w:val="1"/>
      <w:numFmt w:val="lowerRoman"/>
      <w:lvlText w:val="%6."/>
      <w:lvlJc w:val="right"/>
      <w:pPr>
        <w:ind w:left="4320" w:hanging="180"/>
      </w:pPr>
    </w:lvl>
    <w:lvl w:ilvl="6" w:tplc="B77478B2">
      <w:start w:val="1"/>
      <w:numFmt w:val="decimal"/>
      <w:lvlText w:val="%7."/>
      <w:lvlJc w:val="left"/>
      <w:pPr>
        <w:ind w:left="5040" w:hanging="360"/>
      </w:pPr>
    </w:lvl>
    <w:lvl w:ilvl="7" w:tplc="A8F0AC1E">
      <w:start w:val="1"/>
      <w:numFmt w:val="lowerLetter"/>
      <w:lvlText w:val="%8."/>
      <w:lvlJc w:val="left"/>
      <w:pPr>
        <w:ind w:left="5760" w:hanging="360"/>
      </w:pPr>
    </w:lvl>
    <w:lvl w:ilvl="8" w:tplc="655A8DB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A44"/>
    <w:rsid w:val="00093928"/>
    <w:rsid w:val="001225C9"/>
    <w:rsid w:val="001C5167"/>
    <w:rsid w:val="002A0A78"/>
    <w:rsid w:val="002C1BED"/>
    <w:rsid w:val="002D1577"/>
    <w:rsid w:val="00365F05"/>
    <w:rsid w:val="004A43DE"/>
    <w:rsid w:val="004F2C34"/>
    <w:rsid w:val="004F65AD"/>
    <w:rsid w:val="005723C7"/>
    <w:rsid w:val="00912B4E"/>
    <w:rsid w:val="00A355DD"/>
    <w:rsid w:val="00AF7BBE"/>
    <w:rsid w:val="00C401F6"/>
    <w:rsid w:val="00C91A27"/>
    <w:rsid w:val="00D44FBC"/>
    <w:rsid w:val="00D94A44"/>
    <w:rsid w:val="00DD74A9"/>
    <w:rsid w:val="00F32163"/>
    <w:rsid w:val="00F5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D44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44FB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D44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44F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6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2024-09-05T00:49:00Z</cp:lastPrinted>
  <dcterms:created xsi:type="dcterms:W3CDTF">2024-09-11T08:42:00Z</dcterms:created>
  <dcterms:modified xsi:type="dcterms:W3CDTF">2024-09-11T08:42:00Z</dcterms:modified>
</cp:coreProperties>
</file>